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178"/>
        <w:gridCol w:w="892"/>
        <w:gridCol w:w="4494"/>
      </w:tblGrid>
      <w:tr w:rsidR="003E0CC9" w:rsidRPr="006B0093" w:rsidTr="002C00D9">
        <w:tc>
          <w:tcPr>
            <w:tcW w:w="4178" w:type="dxa"/>
          </w:tcPr>
          <w:p w:rsidR="003E0CC9" w:rsidRPr="006B0093" w:rsidRDefault="003E0CC9" w:rsidP="002C00D9">
            <w:pPr>
              <w:ind w:right="101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AB3" w:rsidRPr="00EB2900" w:rsidRDefault="00FF7AB3" w:rsidP="00FF7AB3">
            <w:pPr>
              <w:keepNext/>
              <w:outlineLvl w:val="1"/>
              <w:rPr>
                <w:rFonts w:ascii="Times New Roman" w:hAnsi="Times New Roman" w:cs="Times New Roman"/>
                <w:bCs/>
              </w:rPr>
            </w:pPr>
            <w:r w:rsidRPr="00EB2900">
              <w:rPr>
                <w:rFonts w:ascii="Times New Roman" w:hAnsi="Times New Roman" w:cs="Times New Roman"/>
                <w:bCs/>
              </w:rPr>
              <w:t>АДМИНИСТРАЦИЯ</w:t>
            </w:r>
          </w:p>
          <w:p w:rsidR="00FF7AB3" w:rsidRPr="00EB2900" w:rsidRDefault="00FF7AB3" w:rsidP="00FF7AB3">
            <w:pPr>
              <w:keepNext/>
              <w:ind w:firstLine="0"/>
              <w:outlineLvl w:val="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ФУРМАНОВСКОГО</w:t>
            </w:r>
            <w:r w:rsidRPr="00FF7AB3">
              <w:rPr>
                <w:rFonts w:ascii="Times New Roman" w:hAnsi="Times New Roman" w:cs="Times New Roman"/>
                <w:bCs/>
              </w:rPr>
              <w:t xml:space="preserve"> </w:t>
            </w:r>
            <w:r w:rsidRPr="00EB2900">
              <w:rPr>
                <w:rFonts w:ascii="Times New Roman" w:hAnsi="Times New Roman" w:cs="Times New Roman"/>
                <w:bCs/>
              </w:rPr>
              <w:t>СЕЛЬСОВЕТА</w:t>
            </w:r>
          </w:p>
          <w:p w:rsidR="00FF7AB3" w:rsidRPr="00FF7AB3" w:rsidRDefault="00FF7AB3" w:rsidP="00FF7AB3">
            <w:pPr>
              <w:keepNext/>
              <w:ind w:firstLine="0"/>
              <w:outlineLvl w:val="1"/>
              <w:rPr>
                <w:rFonts w:ascii="Times New Roman" w:hAnsi="Times New Roman" w:cs="Times New Roman"/>
                <w:bCs/>
              </w:rPr>
            </w:pPr>
            <w:r w:rsidRPr="00FF7AB3">
              <w:rPr>
                <w:rFonts w:ascii="Times New Roman" w:hAnsi="Times New Roman" w:cs="Times New Roman"/>
                <w:bCs/>
              </w:rPr>
              <w:t xml:space="preserve">    </w:t>
            </w:r>
            <w:r w:rsidRPr="00EB2900">
              <w:rPr>
                <w:rFonts w:ascii="Times New Roman" w:hAnsi="Times New Roman" w:cs="Times New Roman"/>
                <w:bCs/>
              </w:rPr>
              <w:t>ПЕРВОМАЙСКОГО РАЙОНА</w:t>
            </w:r>
          </w:p>
          <w:p w:rsidR="00FF7AB3" w:rsidRPr="00FF7AB3" w:rsidRDefault="00FF7AB3" w:rsidP="00FF7AB3">
            <w:pPr>
              <w:keepNext/>
              <w:ind w:firstLine="0"/>
              <w:outlineLvl w:val="1"/>
              <w:rPr>
                <w:rFonts w:ascii="Times New Roman" w:hAnsi="Times New Roman" w:cs="Times New Roman"/>
                <w:bCs/>
              </w:rPr>
            </w:pPr>
            <w:r w:rsidRPr="00FF7AB3">
              <w:rPr>
                <w:rFonts w:ascii="Times New Roman" w:hAnsi="Times New Roman" w:cs="Times New Roman"/>
                <w:bCs/>
              </w:rPr>
              <w:t xml:space="preserve">    </w:t>
            </w:r>
            <w:r w:rsidRPr="00EB2900">
              <w:rPr>
                <w:rFonts w:ascii="Times New Roman" w:hAnsi="Times New Roman" w:cs="Times New Roman"/>
                <w:bCs/>
              </w:rPr>
              <w:t>ОРЕНБУРГСКОЙ ОБЛАСТИ</w:t>
            </w:r>
          </w:p>
          <w:p w:rsidR="003E0CC9" w:rsidRPr="006B0093" w:rsidRDefault="003E0CC9" w:rsidP="002C00D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CC9" w:rsidRPr="00734D87" w:rsidRDefault="00B53D16" w:rsidP="002C00D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34D87">
              <w:rPr>
                <w:rFonts w:ascii="Times New Roman" w:hAnsi="Times New Roman" w:cs="Times New Roman"/>
              </w:rPr>
              <w:t>РАСПОРЯЖЕНИЕ</w:t>
            </w:r>
          </w:p>
          <w:p w:rsidR="003E0CC9" w:rsidRPr="006B0093" w:rsidRDefault="003E0CC9" w:rsidP="002C00D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CC9" w:rsidRPr="006B0093" w:rsidRDefault="000F527D" w:rsidP="002C00D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  <w:r w:rsidR="0001141A" w:rsidRPr="000114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E0C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53D1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E0CC9" w:rsidRPr="006B0093">
              <w:rPr>
                <w:rFonts w:ascii="Times New Roman" w:hAnsi="Times New Roman" w:cs="Times New Roman"/>
                <w:sz w:val="28"/>
                <w:szCs w:val="28"/>
              </w:rPr>
              <w:t xml:space="preserve">  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11-р</w:t>
            </w:r>
          </w:p>
          <w:p w:rsidR="003E0CC9" w:rsidRPr="006B0093" w:rsidRDefault="003E0CC9" w:rsidP="002C00D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</w:tcPr>
          <w:p w:rsidR="003E0CC9" w:rsidRPr="006B0093" w:rsidRDefault="003E0CC9" w:rsidP="002C00D9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CC9" w:rsidRPr="006B0093" w:rsidTr="002C00D9">
        <w:tc>
          <w:tcPr>
            <w:tcW w:w="5070" w:type="dxa"/>
            <w:gridSpan w:val="2"/>
          </w:tcPr>
          <w:p w:rsidR="003E0CC9" w:rsidRDefault="003E0CC9" w:rsidP="002C00D9">
            <w:pPr>
              <w:tabs>
                <w:tab w:val="left" w:pos="418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00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 утверждении методики балльной</w:t>
            </w:r>
          </w:p>
          <w:p w:rsidR="003E0CC9" w:rsidRDefault="003E0CC9" w:rsidP="002C00D9">
            <w:pPr>
              <w:tabs>
                <w:tab w:val="left" w:pos="418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оценки качества финансового</w:t>
            </w:r>
          </w:p>
          <w:p w:rsidR="003E0CC9" w:rsidRDefault="003E0CC9" w:rsidP="002C00D9">
            <w:pPr>
              <w:tabs>
                <w:tab w:val="left" w:pos="418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менеджмента главн</w:t>
            </w:r>
            <w:r w:rsidR="00B53D16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распорядител</w:t>
            </w:r>
            <w:r w:rsidR="00B53D1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3E0CC9" w:rsidRPr="00380AB1" w:rsidRDefault="003E0CC9" w:rsidP="002C00D9">
            <w:pPr>
              <w:tabs>
                <w:tab w:val="left" w:pos="418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 w:rsidR="00B53D16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  <w:p w:rsidR="003E0CC9" w:rsidRPr="006B0093" w:rsidRDefault="003E0CC9" w:rsidP="002C00D9">
            <w:pPr>
              <w:pStyle w:val="a5"/>
              <w:tabs>
                <w:tab w:val="left" w:pos="851"/>
                <w:tab w:val="left" w:pos="1134"/>
                <w:tab w:val="left" w:pos="1560"/>
                <w:tab w:val="left" w:pos="1843"/>
                <w:tab w:val="left" w:pos="1985"/>
              </w:tabs>
              <w:rPr>
                <w:szCs w:val="28"/>
              </w:rPr>
            </w:pPr>
          </w:p>
        </w:tc>
        <w:tc>
          <w:tcPr>
            <w:tcW w:w="4494" w:type="dxa"/>
          </w:tcPr>
          <w:p w:rsidR="003E0CC9" w:rsidRPr="006B0093" w:rsidRDefault="003E0CC9" w:rsidP="002C00D9">
            <w:pPr>
              <w:pStyle w:val="a5"/>
              <w:tabs>
                <w:tab w:val="left" w:pos="851"/>
                <w:tab w:val="left" w:pos="1134"/>
                <w:tab w:val="left" w:pos="1560"/>
                <w:tab w:val="left" w:pos="1843"/>
                <w:tab w:val="left" w:pos="1985"/>
              </w:tabs>
              <w:rPr>
                <w:szCs w:val="28"/>
              </w:rPr>
            </w:pPr>
          </w:p>
        </w:tc>
      </w:tr>
    </w:tbl>
    <w:p w:rsidR="003E1845" w:rsidRPr="003E0CC9" w:rsidRDefault="003E1845" w:rsidP="003E0CC9">
      <w:pPr>
        <w:pStyle w:val="ConsPlusTitlePage"/>
      </w:pPr>
    </w:p>
    <w:p w:rsidR="003E1845" w:rsidRPr="00583026" w:rsidRDefault="003E18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1845" w:rsidRPr="00137F03" w:rsidRDefault="003E1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F03">
        <w:rPr>
          <w:rFonts w:ascii="Times New Roman" w:hAnsi="Times New Roman" w:cs="Times New Roman"/>
          <w:sz w:val="28"/>
          <w:szCs w:val="28"/>
        </w:rPr>
        <w:t>В целях формирования стимулов к повышению качества финансового менеджмента главн</w:t>
      </w:r>
      <w:r w:rsidR="00B53D16">
        <w:rPr>
          <w:rFonts w:ascii="Times New Roman" w:hAnsi="Times New Roman" w:cs="Times New Roman"/>
          <w:sz w:val="28"/>
          <w:szCs w:val="28"/>
        </w:rPr>
        <w:t>ого</w:t>
      </w:r>
      <w:r w:rsidRPr="00137F03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B53D16">
        <w:rPr>
          <w:rFonts w:ascii="Times New Roman" w:hAnsi="Times New Roman" w:cs="Times New Roman"/>
          <w:sz w:val="28"/>
          <w:szCs w:val="28"/>
        </w:rPr>
        <w:t>я</w:t>
      </w:r>
      <w:r w:rsidRPr="00137F03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B53D16">
        <w:rPr>
          <w:rFonts w:ascii="Times New Roman" w:hAnsi="Times New Roman" w:cs="Times New Roman"/>
          <w:sz w:val="28"/>
          <w:szCs w:val="28"/>
        </w:rPr>
        <w:t>местного</w:t>
      </w:r>
      <w:r w:rsidRPr="00137F03">
        <w:rPr>
          <w:rFonts w:ascii="Times New Roman" w:hAnsi="Times New Roman" w:cs="Times New Roman"/>
          <w:sz w:val="28"/>
          <w:szCs w:val="28"/>
        </w:rPr>
        <w:t xml:space="preserve"> бюджета:</w:t>
      </w:r>
    </w:p>
    <w:p w:rsidR="003E1845" w:rsidRPr="00137F03" w:rsidRDefault="003E18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1845" w:rsidRPr="0023640E" w:rsidRDefault="003E1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40E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3E0CC9" w:rsidRPr="0023640E">
        <w:rPr>
          <w:rFonts w:ascii="Times New Roman" w:hAnsi="Times New Roman" w:cs="Times New Roman"/>
          <w:sz w:val="28"/>
          <w:szCs w:val="28"/>
        </w:rPr>
        <w:t xml:space="preserve">методику </w:t>
      </w:r>
      <w:r w:rsidRPr="0023640E">
        <w:rPr>
          <w:rFonts w:ascii="Times New Roman" w:hAnsi="Times New Roman" w:cs="Times New Roman"/>
          <w:sz w:val="28"/>
          <w:szCs w:val="28"/>
        </w:rPr>
        <w:t xml:space="preserve">балльной оценки качества финансового менеджмента </w:t>
      </w:r>
      <w:r w:rsidR="00B53D16" w:rsidRPr="00137F03">
        <w:rPr>
          <w:rFonts w:ascii="Times New Roman" w:hAnsi="Times New Roman" w:cs="Times New Roman"/>
          <w:sz w:val="28"/>
          <w:szCs w:val="28"/>
        </w:rPr>
        <w:t>главн</w:t>
      </w:r>
      <w:r w:rsidR="00B53D16">
        <w:rPr>
          <w:rFonts w:ascii="Times New Roman" w:hAnsi="Times New Roman" w:cs="Times New Roman"/>
          <w:sz w:val="28"/>
          <w:szCs w:val="28"/>
        </w:rPr>
        <w:t>ого</w:t>
      </w:r>
      <w:r w:rsidR="00B53D16" w:rsidRPr="00137F03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B53D16">
        <w:rPr>
          <w:rFonts w:ascii="Times New Roman" w:hAnsi="Times New Roman" w:cs="Times New Roman"/>
          <w:sz w:val="28"/>
          <w:szCs w:val="28"/>
        </w:rPr>
        <w:t>я</w:t>
      </w:r>
      <w:r w:rsidR="00B53D16" w:rsidRPr="00137F03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B53D16">
        <w:rPr>
          <w:rFonts w:ascii="Times New Roman" w:hAnsi="Times New Roman" w:cs="Times New Roman"/>
          <w:sz w:val="28"/>
          <w:szCs w:val="28"/>
        </w:rPr>
        <w:t>местного</w:t>
      </w:r>
      <w:r w:rsidRPr="0023640E">
        <w:rPr>
          <w:rFonts w:ascii="Times New Roman" w:hAnsi="Times New Roman" w:cs="Times New Roman"/>
          <w:sz w:val="28"/>
          <w:szCs w:val="28"/>
        </w:rPr>
        <w:t>бюджета согласно приложению.</w:t>
      </w:r>
    </w:p>
    <w:p w:rsidR="00FF7AB3" w:rsidRPr="009918C3" w:rsidRDefault="003E1845" w:rsidP="00FF7AB3">
      <w:pPr>
        <w:rPr>
          <w:rFonts w:ascii="Times New Roman" w:hAnsi="Times New Roman" w:cs="Times New Roman"/>
          <w:sz w:val="28"/>
          <w:szCs w:val="28"/>
        </w:rPr>
      </w:pPr>
      <w:r w:rsidRPr="0023640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FF7AB3" w:rsidRPr="009918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F7AB3" w:rsidRPr="009918C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FF7AB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3640E" w:rsidRPr="00826261" w:rsidRDefault="00B53D16" w:rsidP="00FF7A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3640E">
        <w:rPr>
          <w:rFonts w:ascii="Times New Roman" w:hAnsi="Times New Roman" w:cs="Times New Roman"/>
          <w:sz w:val="28"/>
          <w:szCs w:val="28"/>
        </w:rPr>
        <w:t xml:space="preserve">. </w:t>
      </w:r>
      <w:r w:rsidR="00F937F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обнародования в установленном порядке.</w:t>
      </w:r>
    </w:p>
    <w:p w:rsidR="0023640E" w:rsidRPr="00826261" w:rsidRDefault="0023640E" w:rsidP="0023640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</w:p>
    <w:p w:rsidR="0023640E" w:rsidRPr="00826261" w:rsidRDefault="0023640E" w:rsidP="0023640E">
      <w:pPr>
        <w:widowControl/>
        <w:autoSpaceDE/>
        <w:autoSpaceDN/>
        <w:adjustRightInd/>
        <w:ind w:left="780" w:firstLine="0"/>
        <w:rPr>
          <w:rFonts w:ascii="Times New Roman" w:hAnsi="Times New Roman" w:cs="Times New Roman"/>
          <w:sz w:val="28"/>
        </w:rPr>
      </w:pPr>
    </w:p>
    <w:p w:rsidR="00FF7AB3" w:rsidRDefault="00FF7AB3" w:rsidP="00FF7AB3">
      <w:pPr>
        <w:rPr>
          <w:rFonts w:ascii="Times New Roman" w:hAnsi="Times New Roman" w:cs="Times New Roman"/>
          <w:sz w:val="28"/>
        </w:rPr>
      </w:pPr>
      <w:r w:rsidRPr="009918C3">
        <w:rPr>
          <w:rFonts w:ascii="Times New Roman" w:hAnsi="Times New Roman" w:cs="Times New Roman"/>
          <w:sz w:val="28"/>
        </w:rPr>
        <w:t xml:space="preserve">Глава </w:t>
      </w:r>
      <w:r>
        <w:rPr>
          <w:rFonts w:ascii="Times New Roman" w:hAnsi="Times New Roman" w:cs="Times New Roman"/>
          <w:sz w:val="28"/>
        </w:rPr>
        <w:t>администрации</w:t>
      </w:r>
    </w:p>
    <w:p w:rsidR="00FF7AB3" w:rsidRPr="009918C3" w:rsidRDefault="00FF7AB3" w:rsidP="00FF7AB3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Фурмановского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сельсовета</w:t>
      </w:r>
      <w:r w:rsidRPr="009918C3">
        <w:rPr>
          <w:rFonts w:ascii="Times New Roman" w:hAnsi="Times New Roman" w:cs="Times New Roman"/>
          <w:sz w:val="28"/>
        </w:rPr>
        <w:tab/>
      </w:r>
      <w:r w:rsidRPr="009918C3">
        <w:rPr>
          <w:rFonts w:ascii="Times New Roman" w:hAnsi="Times New Roman" w:cs="Times New Roman"/>
          <w:sz w:val="28"/>
        </w:rPr>
        <w:tab/>
      </w:r>
      <w:r w:rsidRPr="009918C3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А.В.Илясов</w:t>
      </w:r>
      <w:proofErr w:type="spellEnd"/>
    </w:p>
    <w:p w:rsidR="00FF7AB3" w:rsidRPr="009918C3" w:rsidRDefault="00FF7AB3" w:rsidP="00FF7AB3">
      <w:pPr>
        <w:ind w:left="1440" w:hanging="1440"/>
        <w:rPr>
          <w:rFonts w:ascii="Times New Roman" w:hAnsi="Times New Roman" w:cs="Times New Roman"/>
          <w:sz w:val="28"/>
        </w:rPr>
      </w:pPr>
    </w:p>
    <w:p w:rsidR="0023640E" w:rsidRPr="00826261" w:rsidRDefault="0023640E" w:rsidP="0023640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A8098A" w:rsidRDefault="00A8098A" w:rsidP="00A8098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70089" w:rsidRDefault="00A70089" w:rsidP="00A8098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70089" w:rsidRDefault="00A70089" w:rsidP="00A8098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70089" w:rsidRDefault="00A70089" w:rsidP="00A8098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70089" w:rsidRDefault="00A70089" w:rsidP="00A8098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70089" w:rsidRDefault="00A70089" w:rsidP="00A8098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70089" w:rsidRDefault="00A70089" w:rsidP="00A8098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53D16" w:rsidRDefault="00B53D16" w:rsidP="00F937F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53D16" w:rsidRDefault="00B53D16" w:rsidP="00F937F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53D16" w:rsidRDefault="00B53D16" w:rsidP="00F937F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53D16" w:rsidRDefault="00B53D16" w:rsidP="00F937F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53D16" w:rsidRDefault="00B53D16" w:rsidP="00F937F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53D16" w:rsidRDefault="00B53D16" w:rsidP="00F937F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53D16" w:rsidRDefault="00B53D16" w:rsidP="00F937F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53D16" w:rsidRDefault="00B53D16" w:rsidP="00F937F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37FE" w:rsidRDefault="003E1845" w:rsidP="00F937F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8302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Приложениек </w:t>
      </w:r>
      <w:r w:rsidR="001B3CAB">
        <w:rPr>
          <w:rFonts w:ascii="Times New Roman" w:hAnsi="Times New Roman" w:cs="Times New Roman"/>
          <w:sz w:val="24"/>
          <w:szCs w:val="24"/>
        </w:rPr>
        <w:t>распоряжению</w:t>
      </w:r>
    </w:p>
    <w:p w:rsidR="00FF7AB3" w:rsidRDefault="00137F03" w:rsidP="00FF7AB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FF7AB3"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="00FF7AB3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1B3CAB" w:rsidRDefault="001B3CAB" w:rsidP="00FF7AB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Первомайского района </w:t>
      </w:r>
    </w:p>
    <w:p w:rsidR="00137F03" w:rsidRPr="00583026" w:rsidRDefault="001B3CAB" w:rsidP="00F937F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3E1845" w:rsidRPr="00583026" w:rsidRDefault="000F527D" w:rsidP="000F52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E1845" w:rsidRPr="0058302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07.04</w:t>
      </w:r>
      <w:r w:rsidR="0001141A">
        <w:rPr>
          <w:rFonts w:ascii="Times New Roman" w:hAnsi="Times New Roman" w:cs="Times New Roman"/>
          <w:sz w:val="24"/>
          <w:szCs w:val="24"/>
        </w:rPr>
        <w:t>.</w:t>
      </w:r>
      <w:r w:rsidR="003E1845" w:rsidRPr="00583026">
        <w:rPr>
          <w:rFonts w:ascii="Times New Roman" w:hAnsi="Times New Roman" w:cs="Times New Roman"/>
          <w:sz w:val="24"/>
          <w:szCs w:val="24"/>
        </w:rPr>
        <w:t>20</w:t>
      </w:r>
      <w:r w:rsidR="001B3CAB">
        <w:rPr>
          <w:rFonts w:ascii="Times New Roman" w:hAnsi="Times New Roman" w:cs="Times New Roman"/>
          <w:sz w:val="24"/>
          <w:szCs w:val="24"/>
        </w:rPr>
        <w:t>20</w:t>
      </w:r>
      <w:r w:rsidR="003E1845" w:rsidRPr="00583026">
        <w:rPr>
          <w:rFonts w:ascii="Times New Roman" w:hAnsi="Times New Roman" w:cs="Times New Roman"/>
          <w:sz w:val="24"/>
          <w:szCs w:val="24"/>
        </w:rPr>
        <w:t xml:space="preserve"> г. </w:t>
      </w:r>
      <w:r w:rsidR="00137F0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11-р</w:t>
      </w:r>
    </w:p>
    <w:p w:rsidR="003E1845" w:rsidRDefault="003E1845">
      <w:pPr>
        <w:pStyle w:val="ConsPlusNormal"/>
        <w:jc w:val="both"/>
      </w:pPr>
    </w:p>
    <w:p w:rsidR="00B53D16" w:rsidRDefault="00B53D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4"/>
      <w:bookmarkEnd w:id="0"/>
    </w:p>
    <w:p w:rsidR="003E1845" w:rsidRPr="00F937FE" w:rsidRDefault="003E18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37FE">
        <w:rPr>
          <w:rFonts w:ascii="Times New Roman" w:hAnsi="Times New Roman" w:cs="Times New Roman"/>
          <w:sz w:val="28"/>
          <w:szCs w:val="28"/>
        </w:rPr>
        <w:t>Методика</w:t>
      </w:r>
    </w:p>
    <w:p w:rsidR="003E1845" w:rsidRPr="00F937FE" w:rsidRDefault="003E18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37FE">
        <w:rPr>
          <w:rFonts w:ascii="Times New Roman" w:hAnsi="Times New Roman" w:cs="Times New Roman"/>
          <w:sz w:val="28"/>
          <w:szCs w:val="28"/>
        </w:rPr>
        <w:t>балльной оценки качества финансового менеджмента</w:t>
      </w:r>
    </w:p>
    <w:p w:rsidR="003E1845" w:rsidRDefault="003E18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37FE">
        <w:rPr>
          <w:rFonts w:ascii="Times New Roman" w:hAnsi="Times New Roman" w:cs="Times New Roman"/>
          <w:sz w:val="28"/>
          <w:szCs w:val="28"/>
        </w:rPr>
        <w:t>главн</w:t>
      </w:r>
      <w:r w:rsidR="0043750D">
        <w:rPr>
          <w:rFonts w:ascii="Times New Roman" w:hAnsi="Times New Roman" w:cs="Times New Roman"/>
          <w:sz w:val="28"/>
          <w:szCs w:val="28"/>
        </w:rPr>
        <w:t>ого распорядителя</w:t>
      </w:r>
      <w:r w:rsidRPr="00F937FE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43750D">
        <w:rPr>
          <w:rFonts w:ascii="Times New Roman" w:hAnsi="Times New Roman" w:cs="Times New Roman"/>
          <w:sz w:val="28"/>
          <w:szCs w:val="28"/>
        </w:rPr>
        <w:t>местного</w:t>
      </w:r>
      <w:r w:rsidRPr="00F937FE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B53D16" w:rsidRDefault="00B53D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53D16" w:rsidRPr="00F937FE" w:rsidRDefault="00B53D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E1845" w:rsidRPr="00137F03" w:rsidRDefault="003E1845" w:rsidP="00F937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37F03">
        <w:rPr>
          <w:rFonts w:ascii="Times New Roman" w:hAnsi="Times New Roman" w:cs="Times New Roman"/>
          <w:sz w:val="28"/>
          <w:szCs w:val="28"/>
        </w:rPr>
        <w:t>1. Оценка качества финансового менеджмента главн</w:t>
      </w:r>
      <w:r w:rsidR="0043750D">
        <w:rPr>
          <w:rFonts w:ascii="Times New Roman" w:hAnsi="Times New Roman" w:cs="Times New Roman"/>
          <w:sz w:val="28"/>
          <w:szCs w:val="28"/>
        </w:rPr>
        <w:t>ого</w:t>
      </w:r>
      <w:r w:rsidRPr="00137F03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43750D">
        <w:rPr>
          <w:rFonts w:ascii="Times New Roman" w:hAnsi="Times New Roman" w:cs="Times New Roman"/>
          <w:sz w:val="28"/>
          <w:szCs w:val="28"/>
        </w:rPr>
        <w:t>я</w:t>
      </w:r>
      <w:r w:rsidRPr="00137F03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43750D">
        <w:rPr>
          <w:rFonts w:ascii="Times New Roman" w:hAnsi="Times New Roman" w:cs="Times New Roman"/>
          <w:sz w:val="28"/>
          <w:szCs w:val="28"/>
        </w:rPr>
        <w:t>местного</w:t>
      </w:r>
      <w:r w:rsidRPr="00137F03">
        <w:rPr>
          <w:rFonts w:ascii="Times New Roman" w:hAnsi="Times New Roman" w:cs="Times New Roman"/>
          <w:sz w:val="28"/>
          <w:szCs w:val="28"/>
        </w:rPr>
        <w:t xml:space="preserve"> бюджета (далее - ГРБС) осуществляется </w:t>
      </w:r>
      <w:r w:rsidR="00D82026" w:rsidRPr="0023640E">
        <w:rPr>
          <w:rFonts w:ascii="Times New Roman" w:hAnsi="Times New Roman" w:cs="Times New Roman"/>
          <w:sz w:val="28"/>
          <w:szCs w:val="28"/>
        </w:rPr>
        <w:t>администраци</w:t>
      </w:r>
      <w:r w:rsidR="0043750D">
        <w:rPr>
          <w:rFonts w:ascii="Times New Roman" w:hAnsi="Times New Roman" w:cs="Times New Roman"/>
          <w:sz w:val="28"/>
          <w:szCs w:val="28"/>
        </w:rPr>
        <w:t xml:space="preserve">ей </w:t>
      </w:r>
      <w:proofErr w:type="spellStart"/>
      <w:r w:rsidR="00FF7AB3">
        <w:rPr>
          <w:rFonts w:ascii="Times New Roman" w:hAnsi="Times New Roman" w:cs="Times New Roman"/>
          <w:sz w:val="28"/>
          <w:szCs w:val="28"/>
        </w:rPr>
        <w:t>Фурмановского</w:t>
      </w:r>
      <w:proofErr w:type="spellEnd"/>
      <w:r w:rsidR="0043750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F7AB3">
        <w:rPr>
          <w:rFonts w:ascii="Times New Roman" w:hAnsi="Times New Roman" w:cs="Times New Roman"/>
          <w:sz w:val="28"/>
          <w:szCs w:val="28"/>
        </w:rPr>
        <w:t>а</w:t>
      </w:r>
      <w:r w:rsidR="00D82026" w:rsidRPr="0023640E">
        <w:rPr>
          <w:rFonts w:ascii="Times New Roman" w:hAnsi="Times New Roman" w:cs="Times New Roman"/>
          <w:sz w:val="28"/>
          <w:szCs w:val="28"/>
        </w:rPr>
        <w:t xml:space="preserve"> Первомайского района </w:t>
      </w:r>
      <w:r w:rsidR="00D82026">
        <w:rPr>
          <w:rFonts w:ascii="Times New Roman" w:hAnsi="Times New Roman" w:cs="Times New Roman"/>
          <w:sz w:val="28"/>
          <w:szCs w:val="28"/>
        </w:rPr>
        <w:t>Оренбургской области (далее – финансовый о</w:t>
      </w:r>
      <w:r w:rsidR="0043750D">
        <w:rPr>
          <w:rFonts w:ascii="Times New Roman" w:hAnsi="Times New Roman" w:cs="Times New Roman"/>
          <w:sz w:val="28"/>
          <w:szCs w:val="28"/>
        </w:rPr>
        <w:t>рган</w:t>
      </w:r>
      <w:r w:rsidR="00D82026">
        <w:rPr>
          <w:rFonts w:ascii="Times New Roman" w:hAnsi="Times New Roman" w:cs="Times New Roman"/>
          <w:sz w:val="28"/>
          <w:szCs w:val="28"/>
        </w:rPr>
        <w:t xml:space="preserve">) </w:t>
      </w:r>
      <w:r w:rsidRPr="00137F03">
        <w:rPr>
          <w:rFonts w:ascii="Times New Roman" w:hAnsi="Times New Roman" w:cs="Times New Roman"/>
          <w:sz w:val="28"/>
          <w:szCs w:val="28"/>
        </w:rPr>
        <w:t xml:space="preserve">ежегодно в соответствии с показателями оценки качества финансового менеджмента ГРБС (далее - показатели оценки качества), установленными в </w:t>
      </w:r>
      <w:r w:rsidR="00D82026" w:rsidRPr="00D82026">
        <w:rPr>
          <w:rFonts w:ascii="Times New Roman" w:hAnsi="Times New Roman" w:cs="Times New Roman"/>
          <w:sz w:val="28"/>
          <w:szCs w:val="28"/>
        </w:rPr>
        <w:t>приложении</w:t>
      </w:r>
      <w:r w:rsidRPr="00137F03">
        <w:rPr>
          <w:rFonts w:ascii="Times New Roman" w:hAnsi="Times New Roman" w:cs="Times New Roman"/>
          <w:sz w:val="28"/>
          <w:szCs w:val="28"/>
        </w:rPr>
        <w:t xml:space="preserve"> к настоящей методике.</w:t>
      </w:r>
    </w:p>
    <w:p w:rsidR="003E1845" w:rsidRPr="00137F03" w:rsidRDefault="003E1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3"/>
      <w:bookmarkEnd w:id="1"/>
      <w:r w:rsidRPr="00137F03">
        <w:rPr>
          <w:rFonts w:ascii="Times New Roman" w:hAnsi="Times New Roman" w:cs="Times New Roman"/>
          <w:sz w:val="28"/>
          <w:szCs w:val="28"/>
        </w:rPr>
        <w:t>2. Оценка качества финансового менеджмента ГРБС (далее - оценка качества) осуществляется</w:t>
      </w:r>
      <w:r w:rsidR="0043750D">
        <w:rPr>
          <w:rFonts w:ascii="Times New Roman" w:hAnsi="Times New Roman" w:cs="Times New Roman"/>
          <w:sz w:val="28"/>
          <w:szCs w:val="28"/>
        </w:rPr>
        <w:t xml:space="preserve"> по</w:t>
      </w:r>
      <w:r w:rsidRPr="00137F03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43750D">
        <w:rPr>
          <w:rFonts w:ascii="Times New Roman" w:hAnsi="Times New Roman" w:cs="Times New Roman"/>
          <w:sz w:val="28"/>
          <w:szCs w:val="28"/>
        </w:rPr>
        <w:t>е</w:t>
      </w:r>
      <w:r w:rsidRPr="00137F03">
        <w:rPr>
          <w:rFonts w:ascii="Times New Roman" w:hAnsi="Times New Roman" w:cs="Times New Roman"/>
          <w:sz w:val="28"/>
          <w:szCs w:val="28"/>
        </w:rPr>
        <w:t xml:space="preserve"> - главные распорядители, не имеющие подведомственных учреждений.</w:t>
      </w:r>
    </w:p>
    <w:p w:rsidR="003E1845" w:rsidRPr="00137F03" w:rsidRDefault="004375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E1845" w:rsidRPr="00137F03">
        <w:rPr>
          <w:rFonts w:ascii="Times New Roman" w:hAnsi="Times New Roman" w:cs="Times New Roman"/>
          <w:sz w:val="28"/>
          <w:szCs w:val="28"/>
        </w:rPr>
        <w:t xml:space="preserve">. </w:t>
      </w:r>
      <w:r w:rsidR="00D82026">
        <w:rPr>
          <w:rFonts w:ascii="Times New Roman" w:hAnsi="Times New Roman" w:cs="Times New Roman"/>
          <w:sz w:val="28"/>
          <w:szCs w:val="28"/>
        </w:rPr>
        <w:t>Финансовый о</w:t>
      </w:r>
      <w:r>
        <w:rPr>
          <w:rFonts w:ascii="Times New Roman" w:hAnsi="Times New Roman" w:cs="Times New Roman"/>
          <w:sz w:val="28"/>
          <w:szCs w:val="28"/>
        </w:rPr>
        <w:t>рган</w:t>
      </w:r>
      <w:r w:rsidR="003E1845" w:rsidRPr="00137F03">
        <w:rPr>
          <w:rFonts w:ascii="Times New Roman" w:hAnsi="Times New Roman" w:cs="Times New Roman"/>
          <w:sz w:val="28"/>
          <w:szCs w:val="28"/>
        </w:rPr>
        <w:t xml:space="preserve"> до 1 </w:t>
      </w:r>
      <w:r w:rsidR="00A8098A">
        <w:rPr>
          <w:rFonts w:ascii="Times New Roman" w:hAnsi="Times New Roman" w:cs="Times New Roman"/>
          <w:sz w:val="28"/>
          <w:szCs w:val="28"/>
        </w:rPr>
        <w:t>июня</w:t>
      </w:r>
      <w:r w:rsidR="003E1845" w:rsidRPr="00137F03">
        <w:rPr>
          <w:rFonts w:ascii="Times New Roman" w:hAnsi="Times New Roman" w:cs="Times New Roman"/>
          <w:sz w:val="28"/>
          <w:szCs w:val="28"/>
        </w:rPr>
        <w:t xml:space="preserve"> текущего года осуществляет оценку качества по каждому показателю оценки качества по шкале от 0 до 5 баллов.</w:t>
      </w:r>
    </w:p>
    <w:p w:rsidR="003E1845" w:rsidRPr="00137F03" w:rsidRDefault="003E1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F03">
        <w:rPr>
          <w:rFonts w:ascii="Times New Roman" w:hAnsi="Times New Roman" w:cs="Times New Roman"/>
          <w:sz w:val="28"/>
          <w:szCs w:val="28"/>
        </w:rPr>
        <w:t>Итоговая оценка качества определяется как сумма баллов по всем показателям оценки качества.</w:t>
      </w:r>
    </w:p>
    <w:p w:rsidR="003E1845" w:rsidRPr="00F937FE" w:rsidRDefault="0043750D" w:rsidP="004375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E1845" w:rsidRPr="00137F03">
        <w:rPr>
          <w:rFonts w:ascii="Times New Roman" w:hAnsi="Times New Roman" w:cs="Times New Roman"/>
          <w:sz w:val="28"/>
          <w:szCs w:val="28"/>
        </w:rPr>
        <w:t xml:space="preserve">Результаты мониторинга оценки качества размещаются на официальном сайте </w:t>
      </w:r>
      <w:r w:rsidR="00FF7AB3" w:rsidRPr="0023640E">
        <w:rPr>
          <w:rFonts w:ascii="Times New Roman" w:hAnsi="Times New Roman" w:cs="Times New Roman"/>
          <w:sz w:val="28"/>
          <w:szCs w:val="28"/>
        </w:rPr>
        <w:t>администраци</w:t>
      </w:r>
      <w:r w:rsidR="00FF7AB3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FF7AB3">
        <w:rPr>
          <w:rFonts w:ascii="Times New Roman" w:hAnsi="Times New Roman" w:cs="Times New Roman"/>
          <w:sz w:val="28"/>
          <w:szCs w:val="28"/>
        </w:rPr>
        <w:t>Фурмановского</w:t>
      </w:r>
      <w:proofErr w:type="spellEnd"/>
      <w:r w:rsidR="00FF7AB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AF5F38">
        <w:rPr>
          <w:rFonts w:ascii="Times New Roman" w:hAnsi="Times New Roman" w:cs="Times New Roman"/>
          <w:sz w:val="28"/>
          <w:szCs w:val="28"/>
        </w:rPr>
        <w:t xml:space="preserve"> Первомайск</w:t>
      </w:r>
      <w:r w:rsidR="00927401">
        <w:rPr>
          <w:rFonts w:ascii="Times New Roman" w:hAnsi="Times New Roman" w:cs="Times New Roman"/>
          <w:sz w:val="28"/>
          <w:szCs w:val="28"/>
        </w:rPr>
        <w:t>ого</w:t>
      </w:r>
      <w:r w:rsidR="00AF5F3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27401">
        <w:rPr>
          <w:rFonts w:ascii="Times New Roman" w:hAnsi="Times New Roman" w:cs="Times New Roman"/>
          <w:sz w:val="28"/>
          <w:szCs w:val="28"/>
        </w:rPr>
        <w:t>а</w:t>
      </w:r>
      <w:r w:rsidR="00AF5F38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3E1845" w:rsidRPr="00137F03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3E1845" w:rsidRDefault="003E1845">
      <w:pPr>
        <w:pStyle w:val="ConsPlusNormal"/>
        <w:jc w:val="both"/>
      </w:pPr>
    </w:p>
    <w:p w:rsidR="003E1845" w:rsidRDefault="003E1845">
      <w:pPr>
        <w:sectPr w:rsidR="003E1845" w:rsidSect="006F45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1845" w:rsidRPr="00583026" w:rsidRDefault="003E184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8302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E1845" w:rsidRPr="00583026" w:rsidRDefault="003E18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3026">
        <w:rPr>
          <w:rFonts w:ascii="Times New Roman" w:hAnsi="Times New Roman" w:cs="Times New Roman"/>
          <w:sz w:val="24"/>
          <w:szCs w:val="24"/>
        </w:rPr>
        <w:t>к методике</w:t>
      </w:r>
    </w:p>
    <w:p w:rsidR="003E1845" w:rsidRPr="00583026" w:rsidRDefault="003E18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3026">
        <w:rPr>
          <w:rFonts w:ascii="Times New Roman" w:hAnsi="Times New Roman" w:cs="Times New Roman"/>
          <w:sz w:val="24"/>
          <w:szCs w:val="24"/>
        </w:rPr>
        <w:t>балльной оценки качества</w:t>
      </w:r>
    </w:p>
    <w:p w:rsidR="003E1845" w:rsidRPr="00583026" w:rsidRDefault="003E18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3026">
        <w:rPr>
          <w:rFonts w:ascii="Times New Roman" w:hAnsi="Times New Roman" w:cs="Times New Roman"/>
          <w:sz w:val="24"/>
          <w:szCs w:val="24"/>
        </w:rPr>
        <w:t>финансового менеджмента</w:t>
      </w:r>
    </w:p>
    <w:p w:rsidR="003E1845" w:rsidRPr="00583026" w:rsidRDefault="003E18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3026">
        <w:rPr>
          <w:rFonts w:ascii="Times New Roman" w:hAnsi="Times New Roman" w:cs="Times New Roman"/>
          <w:sz w:val="24"/>
          <w:szCs w:val="24"/>
        </w:rPr>
        <w:t>главн</w:t>
      </w:r>
      <w:r w:rsidR="00927401">
        <w:rPr>
          <w:rFonts w:ascii="Times New Roman" w:hAnsi="Times New Roman" w:cs="Times New Roman"/>
          <w:sz w:val="24"/>
          <w:szCs w:val="24"/>
        </w:rPr>
        <w:t>ого</w:t>
      </w:r>
      <w:r w:rsidRPr="00583026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="00927401">
        <w:rPr>
          <w:rFonts w:ascii="Times New Roman" w:hAnsi="Times New Roman" w:cs="Times New Roman"/>
          <w:sz w:val="24"/>
          <w:szCs w:val="24"/>
        </w:rPr>
        <w:t>я</w:t>
      </w:r>
    </w:p>
    <w:p w:rsidR="003E1845" w:rsidRPr="00583026" w:rsidRDefault="003E18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3026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927401">
        <w:rPr>
          <w:rFonts w:ascii="Times New Roman" w:hAnsi="Times New Roman" w:cs="Times New Roman"/>
          <w:sz w:val="24"/>
          <w:szCs w:val="24"/>
        </w:rPr>
        <w:t>местн</w:t>
      </w:r>
      <w:r w:rsidR="00AF5F38">
        <w:rPr>
          <w:rFonts w:ascii="Times New Roman" w:hAnsi="Times New Roman" w:cs="Times New Roman"/>
          <w:sz w:val="24"/>
          <w:szCs w:val="24"/>
        </w:rPr>
        <w:t>ого</w:t>
      </w:r>
      <w:r w:rsidRPr="00583026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3E1845" w:rsidRPr="00583026" w:rsidRDefault="003E18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1845" w:rsidRPr="00AF5F38" w:rsidRDefault="003E184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77"/>
      <w:bookmarkEnd w:id="2"/>
      <w:r w:rsidRPr="00AF5F3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3E1845" w:rsidRPr="00AF5F38" w:rsidRDefault="003E184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F38">
        <w:rPr>
          <w:rFonts w:ascii="Times New Roman" w:hAnsi="Times New Roman" w:cs="Times New Roman"/>
          <w:b/>
          <w:sz w:val="28"/>
          <w:szCs w:val="28"/>
        </w:rPr>
        <w:t>показателей оценки качества финансового менеджмента</w:t>
      </w:r>
    </w:p>
    <w:p w:rsidR="003E1845" w:rsidRPr="00AF5F38" w:rsidRDefault="003E184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F38">
        <w:rPr>
          <w:rFonts w:ascii="Times New Roman" w:hAnsi="Times New Roman" w:cs="Times New Roman"/>
          <w:b/>
          <w:sz w:val="28"/>
          <w:szCs w:val="28"/>
        </w:rPr>
        <w:t>главн</w:t>
      </w:r>
      <w:r w:rsidR="00927401">
        <w:rPr>
          <w:rFonts w:ascii="Times New Roman" w:hAnsi="Times New Roman" w:cs="Times New Roman"/>
          <w:b/>
          <w:sz w:val="28"/>
          <w:szCs w:val="28"/>
        </w:rPr>
        <w:t>ого</w:t>
      </w:r>
      <w:r w:rsidRPr="00AF5F38">
        <w:rPr>
          <w:rFonts w:ascii="Times New Roman" w:hAnsi="Times New Roman" w:cs="Times New Roman"/>
          <w:b/>
          <w:sz w:val="28"/>
          <w:szCs w:val="28"/>
        </w:rPr>
        <w:t xml:space="preserve"> распорядител</w:t>
      </w:r>
      <w:r w:rsidR="00927401">
        <w:rPr>
          <w:rFonts w:ascii="Times New Roman" w:hAnsi="Times New Roman" w:cs="Times New Roman"/>
          <w:b/>
          <w:sz w:val="28"/>
          <w:szCs w:val="28"/>
        </w:rPr>
        <w:t>я</w:t>
      </w:r>
      <w:r w:rsidRPr="00AF5F38">
        <w:rPr>
          <w:rFonts w:ascii="Times New Roman" w:hAnsi="Times New Roman" w:cs="Times New Roman"/>
          <w:b/>
          <w:sz w:val="28"/>
          <w:szCs w:val="28"/>
        </w:rPr>
        <w:t xml:space="preserve"> средств </w:t>
      </w:r>
      <w:r w:rsidR="00927401">
        <w:rPr>
          <w:rFonts w:ascii="Times New Roman" w:hAnsi="Times New Roman" w:cs="Times New Roman"/>
          <w:b/>
          <w:sz w:val="28"/>
          <w:szCs w:val="28"/>
        </w:rPr>
        <w:t>местн</w:t>
      </w:r>
      <w:r w:rsidR="00AF5F38">
        <w:rPr>
          <w:rFonts w:ascii="Times New Roman" w:hAnsi="Times New Roman" w:cs="Times New Roman"/>
          <w:b/>
          <w:sz w:val="28"/>
          <w:szCs w:val="28"/>
        </w:rPr>
        <w:t>ого</w:t>
      </w:r>
      <w:r w:rsidRPr="00AF5F38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</w:p>
    <w:p w:rsidR="003E1845" w:rsidRPr="00AF5F38" w:rsidRDefault="003E184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845" w:rsidRPr="00583026" w:rsidRDefault="003E18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52"/>
        <w:gridCol w:w="4111"/>
        <w:gridCol w:w="851"/>
        <w:gridCol w:w="2324"/>
        <w:gridCol w:w="4763"/>
      </w:tblGrid>
      <w:tr w:rsidR="003E1845" w:rsidRPr="00583026" w:rsidTr="00583026">
        <w:tc>
          <w:tcPr>
            <w:tcW w:w="567" w:type="dxa"/>
          </w:tcPr>
          <w:p w:rsidR="003E1845" w:rsidRPr="00583026" w:rsidRDefault="003E1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552" w:type="dxa"/>
          </w:tcPr>
          <w:p w:rsidR="003E1845" w:rsidRPr="00583026" w:rsidRDefault="003E1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111" w:type="dxa"/>
          </w:tcPr>
          <w:p w:rsidR="003E1845" w:rsidRPr="00583026" w:rsidRDefault="003E1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Расчет показателя</w:t>
            </w:r>
          </w:p>
        </w:tc>
        <w:tc>
          <w:tcPr>
            <w:tcW w:w="851" w:type="dxa"/>
          </w:tcPr>
          <w:p w:rsidR="003E1845" w:rsidRPr="00583026" w:rsidRDefault="003E1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24" w:type="dxa"/>
          </w:tcPr>
          <w:p w:rsidR="003E1845" w:rsidRPr="00583026" w:rsidRDefault="003E1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Оценка (баллы)</w:t>
            </w:r>
          </w:p>
        </w:tc>
        <w:tc>
          <w:tcPr>
            <w:tcW w:w="4763" w:type="dxa"/>
          </w:tcPr>
          <w:p w:rsidR="003E1845" w:rsidRPr="00583026" w:rsidRDefault="003E1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3E1845" w:rsidRPr="00583026" w:rsidTr="00583026">
        <w:tc>
          <w:tcPr>
            <w:tcW w:w="567" w:type="dxa"/>
          </w:tcPr>
          <w:p w:rsidR="003E1845" w:rsidRPr="00583026" w:rsidRDefault="003E1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E1845" w:rsidRPr="00583026" w:rsidRDefault="003E1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3E1845" w:rsidRPr="00583026" w:rsidRDefault="003E1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E1845" w:rsidRPr="00583026" w:rsidRDefault="003E1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4" w:type="dxa"/>
          </w:tcPr>
          <w:p w:rsidR="003E1845" w:rsidRPr="00583026" w:rsidRDefault="003E1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3" w:type="dxa"/>
          </w:tcPr>
          <w:p w:rsidR="003E1845" w:rsidRPr="00583026" w:rsidRDefault="003E1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1845" w:rsidRPr="00583026" w:rsidTr="00583026">
        <w:tc>
          <w:tcPr>
            <w:tcW w:w="15168" w:type="dxa"/>
            <w:gridSpan w:val="6"/>
          </w:tcPr>
          <w:p w:rsidR="003E1845" w:rsidRPr="00583026" w:rsidRDefault="003E184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I. Качественные показатели</w:t>
            </w:r>
          </w:p>
        </w:tc>
      </w:tr>
      <w:tr w:rsidR="003E1845" w:rsidRPr="00583026" w:rsidTr="00583026">
        <w:tc>
          <w:tcPr>
            <w:tcW w:w="567" w:type="dxa"/>
          </w:tcPr>
          <w:p w:rsidR="003E1845" w:rsidRPr="00583026" w:rsidRDefault="003E1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Своевременность представления планового реестра расходных обязательств</w:t>
            </w:r>
          </w:p>
        </w:tc>
        <w:tc>
          <w:tcPr>
            <w:tcW w:w="4111" w:type="dxa"/>
          </w:tcPr>
          <w:p w:rsidR="003E1845" w:rsidRPr="00583026" w:rsidRDefault="003108E7" w:rsidP="003108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E1845"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лановый реестр расходных обязательств представлен в срок, установленный </w:t>
            </w:r>
            <w:r w:rsidR="003E1845" w:rsidRPr="000E7DCB">
              <w:rPr>
                <w:rFonts w:ascii="Times New Roman" w:hAnsi="Times New Roman" w:cs="Times New Roman"/>
                <w:sz w:val="24"/>
                <w:szCs w:val="24"/>
              </w:rPr>
              <w:t xml:space="preserve">порядком ведения реестра расходных обязательств </w:t>
            </w:r>
          </w:p>
        </w:tc>
        <w:tc>
          <w:tcPr>
            <w:tcW w:w="851" w:type="dxa"/>
          </w:tcPr>
          <w:p w:rsidR="003E1845" w:rsidRPr="00583026" w:rsidRDefault="003E1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324" w:type="dxa"/>
          </w:tcPr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3 - если плановый реестр расходных обязательств представлен в срок;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0 - если плановый реестр расходных обязательств не представлен в срок</w:t>
            </w:r>
          </w:p>
        </w:tc>
        <w:tc>
          <w:tcPr>
            <w:tcW w:w="4763" w:type="dxa"/>
          </w:tcPr>
          <w:p w:rsidR="003E1845" w:rsidRPr="00583026" w:rsidRDefault="003E1845" w:rsidP="00927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 расценивается представление ГРБС в ходе составления проекта </w:t>
            </w:r>
            <w:r w:rsidR="00927401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очередной финансовый год и плановый период планового реестра расходных обязательств в установленные сроки</w:t>
            </w:r>
          </w:p>
        </w:tc>
      </w:tr>
      <w:tr w:rsidR="003E1845" w:rsidRPr="00583026" w:rsidTr="00583026">
        <w:tc>
          <w:tcPr>
            <w:tcW w:w="567" w:type="dxa"/>
          </w:tcPr>
          <w:p w:rsidR="003E1845" w:rsidRPr="00583026" w:rsidRDefault="003E1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правового акта ГРБС, регулирующего </w:t>
            </w:r>
            <w:r w:rsidRPr="0058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внутренние процедуры подготовки бюджетных проектировок на очередной финансовый год и плановый период</w:t>
            </w:r>
          </w:p>
        </w:tc>
        <w:tc>
          <w:tcPr>
            <w:tcW w:w="4111" w:type="dxa"/>
          </w:tcPr>
          <w:p w:rsidR="003E1845" w:rsidRPr="00583026" w:rsidRDefault="003108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3E1845"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аличие правового акта ГРБС, регулирующего внутренние процедуры подготовки бюджетных </w:t>
            </w:r>
            <w:r w:rsidR="003E1845" w:rsidRPr="0058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проектировок на очередной финансовый год и плановый период, а также включение в данный документ разделов, регламентирующих: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08"/>
            <w:bookmarkEnd w:id="3"/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1) подготовку реестра расходных обязательств ГРБС;</w:t>
            </w:r>
          </w:p>
          <w:p w:rsidR="009A72BF" w:rsidRPr="00583026" w:rsidRDefault="003E1845" w:rsidP="009A72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2) подготовку обо</w:t>
            </w:r>
            <w:r w:rsidR="00927401">
              <w:rPr>
                <w:rFonts w:ascii="Times New Roman" w:hAnsi="Times New Roman" w:cs="Times New Roman"/>
                <w:sz w:val="24"/>
                <w:szCs w:val="24"/>
              </w:rPr>
              <w:t>снований бюджетных ассигнований</w:t>
            </w:r>
            <w:r w:rsidR="009A7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1845" w:rsidRPr="00583026" w:rsidRDefault="003E1845" w:rsidP="00414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1845" w:rsidRPr="00583026" w:rsidRDefault="003E1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324" w:type="dxa"/>
          </w:tcPr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5 - если правовой акт ГРБС полностью соответствует </w:t>
            </w:r>
            <w:r w:rsidRPr="0058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требованиям </w:t>
            </w:r>
            <w:hyperlink w:anchor="P108" w:history="1">
              <w:r w:rsidRPr="0058302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подпунктов 1</w:t>
              </w:r>
            </w:hyperlink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11" w:history="1">
              <w:r w:rsidR="009274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</w:t>
              </w:r>
            </w:hyperlink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7401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4 - если правовой акт ГРБС соответствует только </w:t>
            </w:r>
            <w:r w:rsidR="00927401">
              <w:rPr>
                <w:rFonts w:ascii="Times New Roman" w:hAnsi="Times New Roman" w:cs="Times New Roman"/>
                <w:sz w:val="24"/>
                <w:szCs w:val="24"/>
              </w:rPr>
              <w:t>одному</w:t>
            </w: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</w:t>
            </w:r>
            <w:r w:rsidR="0092740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1845" w:rsidRPr="00583026" w:rsidRDefault="00927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1845"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6208AC"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если правовой акт ГРБСне соответствует требованиям </w:t>
            </w:r>
            <w:hyperlink w:anchor="P108" w:history="1">
              <w:r w:rsidR="006208AC" w:rsidRPr="0058302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подпунктов 1</w:t>
              </w:r>
            </w:hyperlink>
            <w:r w:rsidR="006208A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w:anchor="P11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2;</w:t>
              </w:r>
            </w:hyperlink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0 - если правовой акт ГРБС не утвержден</w:t>
            </w:r>
          </w:p>
        </w:tc>
        <w:tc>
          <w:tcPr>
            <w:tcW w:w="4763" w:type="dxa"/>
          </w:tcPr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качество финансового менеджмента напрямую зависит от наличия правовых актов ГРБС, регламентирующих внутренние </w:t>
            </w:r>
            <w:r w:rsidRPr="0058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и процедуры планирования потребностей в бюджетных средствах для реализации соответствующих полномочий</w:t>
            </w:r>
          </w:p>
        </w:tc>
      </w:tr>
      <w:tr w:rsidR="003E1845" w:rsidRPr="00583026" w:rsidTr="00583026">
        <w:tc>
          <w:tcPr>
            <w:tcW w:w="567" w:type="dxa"/>
          </w:tcPr>
          <w:p w:rsidR="003E1845" w:rsidRPr="00583026" w:rsidRDefault="004310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3E1845" w:rsidRPr="00583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Наличие правового акта ГРБС об организации внутреннего финансового аудита (контроля)</w:t>
            </w:r>
          </w:p>
        </w:tc>
        <w:tc>
          <w:tcPr>
            <w:tcW w:w="4111" w:type="dxa"/>
          </w:tcPr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наличие правового акта ГРБС, обеспечивающего: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40"/>
            <w:bookmarkEnd w:id="4"/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1) создание подразделения внутреннего финансового аудита (контроля)</w:t>
            </w:r>
            <w:r w:rsidR="00772E9A">
              <w:rPr>
                <w:rFonts w:ascii="Times New Roman" w:hAnsi="Times New Roman" w:cs="Times New Roman"/>
                <w:sz w:val="24"/>
                <w:szCs w:val="24"/>
              </w:rPr>
              <w:t xml:space="preserve"> или определить сотрудников, осуществляющих функции внутреннего финансового аудита (контроля)</w:t>
            </w: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2) независимость работы подразделения внутреннего финансового аудита (контроля) </w:t>
            </w:r>
            <w:r w:rsidR="00772E9A">
              <w:rPr>
                <w:rFonts w:ascii="Times New Roman" w:hAnsi="Times New Roman" w:cs="Times New Roman"/>
                <w:sz w:val="24"/>
                <w:szCs w:val="24"/>
              </w:rPr>
              <w:t>или сотрудников, осуществляющих функции финансового аудита (кон</w:t>
            </w:r>
            <w:r w:rsidR="009274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72E9A">
              <w:rPr>
                <w:rFonts w:ascii="Times New Roman" w:hAnsi="Times New Roman" w:cs="Times New Roman"/>
                <w:sz w:val="24"/>
                <w:szCs w:val="24"/>
              </w:rPr>
              <w:t xml:space="preserve">роля) </w:t>
            </w: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от работы других подразделений ГРБС;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42"/>
            <w:bookmarkEnd w:id="5"/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3) наличие процедур и порядка осуществления внутреннего финансового аудита (контроля)</w:t>
            </w:r>
          </w:p>
        </w:tc>
        <w:tc>
          <w:tcPr>
            <w:tcW w:w="851" w:type="dxa"/>
          </w:tcPr>
          <w:p w:rsidR="003E1845" w:rsidRPr="00583026" w:rsidRDefault="003E1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4" w:type="dxa"/>
          </w:tcPr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5 - если правовой акт ГРБС полностью соответствует требованиям </w:t>
            </w:r>
            <w:hyperlink w:anchor="P140" w:history="1">
              <w:r w:rsidRPr="0058302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подпунктов 1</w:t>
              </w:r>
            </w:hyperlink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42" w:history="1">
              <w:r w:rsidRPr="0058302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</w:t>
              </w:r>
            </w:hyperlink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3 - если правовой акт ГРБС полностью соответствует требованиям </w:t>
            </w:r>
            <w:hyperlink w:anchor="P140" w:history="1">
              <w:r w:rsidRPr="0058302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подпунктов 1</w:t>
              </w:r>
            </w:hyperlink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w:anchor="P142" w:history="1">
              <w:r w:rsidRPr="0058302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</w:t>
              </w:r>
            </w:hyperlink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0 - если правовой акт ГРБС не утвержден или не соответствует требованиям </w:t>
            </w:r>
            <w:hyperlink w:anchor="P140" w:history="1">
              <w:r w:rsidRPr="0058302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подпунктов 1</w:t>
              </w:r>
            </w:hyperlink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42" w:history="1">
              <w:r w:rsidRPr="0058302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</w:t>
              </w:r>
            </w:hyperlink>
          </w:p>
        </w:tc>
        <w:tc>
          <w:tcPr>
            <w:tcW w:w="4763" w:type="dxa"/>
          </w:tcPr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наличие правового акта ГРБС об организации внутреннего финансового аудита (контроля) является положительным фактором, способствующим повышению качества финансового менеджмента</w:t>
            </w:r>
          </w:p>
        </w:tc>
      </w:tr>
      <w:tr w:rsidR="003E1845" w:rsidRPr="00583026" w:rsidTr="00583026">
        <w:tc>
          <w:tcPr>
            <w:tcW w:w="567" w:type="dxa"/>
          </w:tcPr>
          <w:p w:rsidR="003E1845" w:rsidRPr="00583026" w:rsidRDefault="004310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3E1845" w:rsidRPr="00583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E1845" w:rsidRPr="00583026" w:rsidRDefault="003E1845" w:rsidP="00B118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Раскрытие информации о реализуемых </w:t>
            </w:r>
            <w:r w:rsidR="00B1182C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программах</w:t>
            </w:r>
          </w:p>
        </w:tc>
        <w:tc>
          <w:tcPr>
            <w:tcW w:w="4111" w:type="dxa"/>
          </w:tcPr>
          <w:p w:rsidR="003E1845" w:rsidRPr="00583026" w:rsidRDefault="003E1845" w:rsidP="008D74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</w:t>
            </w:r>
            <w:r w:rsidRPr="00C50FF9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сайте </w:t>
            </w:r>
            <w:r w:rsidR="00C50FF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B1182C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программ, реализуемых ГРБС (включая </w:t>
            </w:r>
            <w:r w:rsidR="00B1182C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по которым ГРБС является соисполнителем)</w:t>
            </w:r>
          </w:p>
        </w:tc>
        <w:tc>
          <w:tcPr>
            <w:tcW w:w="851" w:type="dxa"/>
          </w:tcPr>
          <w:p w:rsidR="003E1845" w:rsidRPr="00583026" w:rsidRDefault="003E1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324" w:type="dxa"/>
          </w:tcPr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1 - если информация размещена;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0 - если информация не размещена</w:t>
            </w:r>
          </w:p>
        </w:tc>
        <w:tc>
          <w:tcPr>
            <w:tcW w:w="4763" w:type="dxa"/>
          </w:tcPr>
          <w:p w:rsidR="003E1845" w:rsidRPr="00583026" w:rsidRDefault="003E1845" w:rsidP="008D74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индикатора принимает положительное значение при размещении на официальном сайте </w:t>
            </w:r>
            <w:r w:rsidR="00F9156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F91565" w:rsidRPr="00583026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программ, реализуемых ГРБС (включая </w:t>
            </w:r>
            <w:r w:rsidR="00772E9A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по которым ГРБС является соисполнителем)</w:t>
            </w:r>
          </w:p>
        </w:tc>
      </w:tr>
      <w:tr w:rsidR="003E1845" w:rsidRPr="00583026" w:rsidTr="00583026">
        <w:tc>
          <w:tcPr>
            <w:tcW w:w="15168" w:type="dxa"/>
            <w:gridSpan w:val="6"/>
          </w:tcPr>
          <w:p w:rsidR="003E1845" w:rsidRPr="00583026" w:rsidRDefault="003E184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II. Количественные показатели</w:t>
            </w:r>
          </w:p>
        </w:tc>
      </w:tr>
      <w:tr w:rsidR="003E1845" w:rsidRPr="00583026" w:rsidTr="00583026">
        <w:tc>
          <w:tcPr>
            <w:tcW w:w="567" w:type="dxa"/>
          </w:tcPr>
          <w:p w:rsidR="003E1845" w:rsidRPr="00583026" w:rsidRDefault="004310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E1845" w:rsidRPr="00583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ГРБС, осуществляемых в соответствии с </w:t>
            </w:r>
            <w:r w:rsidR="00B1182C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программами</w:t>
            </w:r>
          </w:p>
        </w:tc>
        <w:tc>
          <w:tcPr>
            <w:tcW w:w="4111" w:type="dxa"/>
          </w:tcPr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P = 100 x S / E, где: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S - объем фактических расходов ГРБС в отчетном финансовом году, осуществленных в </w:t>
            </w:r>
            <w:r w:rsidR="005C59DD">
              <w:rPr>
                <w:rFonts w:ascii="Times New Roman" w:hAnsi="Times New Roman" w:cs="Times New Roman"/>
                <w:sz w:val="24"/>
                <w:szCs w:val="24"/>
              </w:rPr>
              <w:t xml:space="preserve">рамках </w:t>
            </w:r>
            <w:r w:rsidR="00B1182C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программ;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E - кассовое исполнение расходов в отчетном финансовом году</w:t>
            </w:r>
          </w:p>
        </w:tc>
        <w:tc>
          <w:tcPr>
            <w:tcW w:w="851" w:type="dxa"/>
          </w:tcPr>
          <w:p w:rsidR="003E1845" w:rsidRPr="00583026" w:rsidRDefault="003E1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324" w:type="dxa"/>
          </w:tcPr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2 - если P = 100;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1 - если P &gt;= 95;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0 - если P &lt; 95</w:t>
            </w:r>
          </w:p>
        </w:tc>
        <w:tc>
          <w:tcPr>
            <w:tcW w:w="4763" w:type="dxa"/>
          </w:tcPr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 расценивается рост доли расходов ГРБС, осуществляемых в соответствии с </w:t>
            </w:r>
            <w:r w:rsidR="00B1182C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программами; целевым ориентиром для ГРБС является значение показателя более 95 процентов</w:t>
            </w:r>
          </w:p>
        </w:tc>
      </w:tr>
      <w:tr w:rsidR="003E1845" w:rsidRPr="00583026" w:rsidTr="00583026">
        <w:tc>
          <w:tcPr>
            <w:tcW w:w="567" w:type="dxa"/>
          </w:tcPr>
          <w:p w:rsidR="003E1845" w:rsidRPr="00583026" w:rsidRDefault="004310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E1845" w:rsidRPr="00583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Равномерность расходов</w:t>
            </w:r>
          </w:p>
        </w:tc>
        <w:tc>
          <w:tcPr>
            <w:tcW w:w="4111" w:type="dxa"/>
          </w:tcPr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P = (E - </w:t>
            </w:r>
            <w:proofErr w:type="spellStart"/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Eср</w:t>
            </w:r>
            <w:proofErr w:type="spellEnd"/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100 / </w:t>
            </w:r>
            <w:proofErr w:type="spellStart"/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Eср</w:t>
            </w:r>
            <w:proofErr w:type="spellEnd"/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E - кассовые расходы ГРБС в IV квартале отчетного финансового года (за исключением расходов, осуществленных за счет межбюджетных трансфертов, предоставленных из </w:t>
            </w:r>
            <w:r w:rsidR="005C59D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и </w:t>
            </w:r>
            <w:r w:rsidR="008E2BC4" w:rsidRPr="005C59DD"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5C59D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E1845" w:rsidRPr="00583026" w:rsidRDefault="003E1845" w:rsidP="008E2B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Eср</w:t>
            </w:r>
            <w:proofErr w:type="spellEnd"/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- средний объем кассовых расходов ГРБС за I - III кварталы отчетного финансового года (за исключением расходов, осуществленных за счет межбюджетных трансфертов, </w:t>
            </w:r>
            <w:r w:rsidRPr="0058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предоставленных из </w:t>
            </w:r>
            <w:r w:rsidR="005C59D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и </w:t>
            </w:r>
            <w:r w:rsidR="008E2BC4" w:rsidRPr="005C59DD"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бюджета)</w:t>
            </w:r>
          </w:p>
        </w:tc>
        <w:tc>
          <w:tcPr>
            <w:tcW w:w="851" w:type="dxa"/>
          </w:tcPr>
          <w:p w:rsidR="003E1845" w:rsidRPr="00583026" w:rsidRDefault="003E1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2324" w:type="dxa"/>
          </w:tcPr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3 - если P &lt;= 30;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0 - если P &gt; 30</w:t>
            </w:r>
          </w:p>
        </w:tc>
        <w:tc>
          <w:tcPr>
            <w:tcW w:w="4763" w:type="dxa"/>
          </w:tcPr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показатель выявляет концентрацию расходов ГРБС в IV квартале отчетного финансового года;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целевым ориентиром для ГРБС является значение показателя, не превышающее 30 процентов</w:t>
            </w:r>
          </w:p>
        </w:tc>
      </w:tr>
      <w:tr w:rsidR="003E1845" w:rsidRPr="00583026" w:rsidTr="00583026">
        <w:tc>
          <w:tcPr>
            <w:tcW w:w="567" w:type="dxa"/>
          </w:tcPr>
          <w:p w:rsidR="003E1845" w:rsidRPr="00583026" w:rsidRDefault="004310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3E1845" w:rsidRPr="00583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E1845" w:rsidRPr="00583026" w:rsidRDefault="003E1845" w:rsidP="009F6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Эффективность управления кредиторской задолженностью</w:t>
            </w:r>
          </w:p>
        </w:tc>
        <w:tc>
          <w:tcPr>
            <w:tcW w:w="4111" w:type="dxa"/>
          </w:tcPr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P = 100 x К / E, где: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К - объем просроченной кредиторской задолженности ГРБС по состоянию на 1 января года, следующего за отчетным годом;</w:t>
            </w:r>
          </w:p>
          <w:p w:rsidR="003E1845" w:rsidRPr="00583026" w:rsidRDefault="003E1845" w:rsidP="009F6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E - кассовое исполнение расходов в отчетном финансовом году</w:t>
            </w:r>
          </w:p>
        </w:tc>
        <w:tc>
          <w:tcPr>
            <w:tcW w:w="851" w:type="dxa"/>
          </w:tcPr>
          <w:p w:rsidR="003E1845" w:rsidRPr="00583026" w:rsidRDefault="003E1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324" w:type="dxa"/>
          </w:tcPr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5 - если P = 0;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0 - если P &gt; 0</w:t>
            </w:r>
          </w:p>
        </w:tc>
        <w:tc>
          <w:tcPr>
            <w:tcW w:w="4763" w:type="dxa"/>
          </w:tcPr>
          <w:p w:rsidR="003E1845" w:rsidRPr="00583026" w:rsidRDefault="003E1845" w:rsidP="009F6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негативным считается факт наличия просроченной кредиторской задолженностипо состоянию на 1 января года, следующего за отчетным годом; целевым ориентиром для ГРБС является значение показателя, равное 0</w:t>
            </w:r>
          </w:p>
        </w:tc>
      </w:tr>
      <w:tr w:rsidR="003E1845" w:rsidRPr="00583026" w:rsidTr="00583026">
        <w:tc>
          <w:tcPr>
            <w:tcW w:w="567" w:type="dxa"/>
          </w:tcPr>
          <w:p w:rsidR="003E1845" w:rsidRPr="00583026" w:rsidRDefault="004310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E1845" w:rsidRPr="00583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Эффективность управления кредиторской задолженностью по расчетам по оплате труда</w:t>
            </w:r>
          </w:p>
        </w:tc>
        <w:tc>
          <w:tcPr>
            <w:tcW w:w="4111" w:type="dxa"/>
          </w:tcPr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P = 100 x К / E, где: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К - объем просроченной кредиторской задолженности ГРБС по расчетам по оплате труда по состоянию на 1 января года, следующего за отчетным годом;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E - кассовое исполнение расходов в отчетном финансовом году ГРБС по расчетам по оплате труда</w:t>
            </w:r>
          </w:p>
        </w:tc>
        <w:tc>
          <w:tcPr>
            <w:tcW w:w="851" w:type="dxa"/>
          </w:tcPr>
          <w:p w:rsidR="003E1845" w:rsidRPr="00583026" w:rsidRDefault="003E1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324" w:type="dxa"/>
          </w:tcPr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5 - если P = 0;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0 - если P &gt; 0</w:t>
            </w:r>
          </w:p>
        </w:tc>
        <w:tc>
          <w:tcPr>
            <w:tcW w:w="4763" w:type="dxa"/>
          </w:tcPr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негативным считается факт наличия просроченной кредиторской задолженности по расчетам по оплате труда по состоянию на 1 января года, следующего за отчетным годом; целевым ориентиром для ГРБС является значение показателя, равное 0</w:t>
            </w:r>
          </w:p>
        </w:tc>
      </w:tr>
      <w:tr w:rsidR="003E1845" w:rsidRPr="00583026" w:rsidTr="00583026">
        <w:tc>
          <w:tcPr>
            <w:tcW w:w="567" w:type="dxa"/>
          </w:tcPr>
          <w:p w:rsidR="003E1845" w:rsidRPr="00583026" w:rsidRDefault="004310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E1845" w:rsidRPr="00583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Эффективность управления кредиторской задолженностью по платежам в государственные внебюджетные фонды</w:t>
            </w:r>
          </w:p>
        </w:tc>
        <w:tc>
          <w:tcPr>
            <w:tcW w:w="4111" w:type="dxa"/>
          </w:tcPr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P = 100 x К / E, где: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К - объем просроченной кредиторской задолженности ГРБС по платежам в государственные внебюджетные фонды по состоянию на 1 января года, следующего за отчетным годом;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E - кассовое исполнение расходов в отчетном финансовом году ГРБС по платежам в государственные </w:t>
            </w:r>
            <w:r w:rsidRPr="0058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внебюджетные фонды</w:t>
            </w:r>
          </w:p>
        </w:tc>
        <w:tc>
          <w:tcPr>
            <w:tcW w:w="851" w:type="dxa"/>
          </w:tcPr>
          <w:p w:rsidR="003E1845" w:rsidRPr="00583026" w:rsidRDefault="003E1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2324" w:type="dxa"/>
          </w:tcPr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5 - если P = 0;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0 - если P &gt; 0</w:t>
            </w:r>
          </w:p>
        </w:tc>
        <w:tc>
          <w:tcPr>
            <w:tcW w:w="4763" w:type="dxa"/>
          </w:tcPr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негативным считается факт наличия просроченной кредиторской задолженности по платежам в государственные внебюджетные фонды по состоянию на 1 января года, следующего за отчетным годом;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целевым ориентиром для ГРБС является значение показателя, равное 0</w:t>
            </w:r>
          </w:p>
        </w:tc>
      </w:tr>
      <w:tr w:rsidR="003E1845" w:rsidRPr="00583026" w:rsidTr="00583026">
        <w:tc>
          <w:tcPr>
            <w:tcW w:w="567" w:type="dxa"/>
          </w:tcPr>
          <w:p w:rsidR="003E1845" w:rsidRPr="00583026" w:rsidRDefault="004310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3E1845" w:rsidRPr="00583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Эффективность управления дебиторской задолженностью</w:t>
            </w:r>
          </w:p>
        </w:tc>
        <w:tc>
          <w:tcPr>
            <w:tcW w:w="4111" w:type="dxa"/>
          </w:tcPr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P = 100 x К / E, где: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К - объем просроченной дебиторской задолженности ГРБС по состоянию на 1 января года, следующего за отчетным годом;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E - кассовое исполнение расходов в отчетном финансовом году</w:t>
            </w:r>
          </w:p>
        </w:tc>
        <w:tc>
          <w:tcPr>
            <w:tcW w:w="851" w:type="dxa"/>
          </w:tcPr>
          <w:p w:rsidR="003E1845" w:rsidRPr="00583026" w:rsidRDefault="003E1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324" w:type="dxa"/>
          </w:tcPr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5 - если P = 0;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0 - если P &gt; 0</w:t>
            </w:r>
          </w:p>
        </w:tc>
        <w:tc>
          <w:tcPr>
            <w:tcW w:w="4763" w:type="dxa"/>
          </w:tcPr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негативным считается факт наличия просроченной дебиторской задолженности по состоянию на 1 января года, следующего за отчетным годом; целевым ориентиром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для ГРБС является значение показателя, равное 0</w:t>
            </w:r>
          </w:p>
        </w:tc>
      </w:tr>
      <w:tr w:rsidR="003E1845" w:rsidRPr="00583026" w:rsidTr="00583026">
        <w:tc>
          <w:tcPr>
            <w:tcW w:w="567" w:type="dxa"/>
          </w:tcPr>
          <w:p w:rsidR="003E1845" w:rsidRPr="00583026" w:rsidRDefault="004310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E1845" w:rsidRPr="00583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Сумма, подлежащая взысканию по исполнительным документам</w:t>
            </w:r>
          </w:p>
        </w:tc>
        <w:tc>
          <w:tcPr>
            <w:tcW w:w="4111" w:type="dxa"/>
          </w:tcPr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P = 100 x S / E, где: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S - сумма, подлежащая взысканию по поступившим с начала финансового года исполнительным документам за счет средств </w:t>
            </w:r>
            <w:r w:rsidR="00F91565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по состоянию на конец отчетного периода;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E - кассовое исполнение расходов в отчетном финансовом году</w:t>
            </w:r>
          </w:p>
        </w:tc>
        <w:tc>
          <w:tcPr>
            <w:tcW w:w="851" w:type="dxa"/>
          </w:tcPr>
          <w:p w:rsidR="003E1845" w:rsidRPr="00583026" w:rsidRDefault="003E1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324" w:type="dxa"/>
          </w:tcPr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5 - если P = 0;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4 - если 0,25 &gt;= P &gt; 0;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3 - если 0,5 &gt;= P &gt; 0,25;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2 - если 0,75 &gt;= P &gt; 0,5;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1 - если 1 &gt;= P &gt; 0,75;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0 - если P &gt; 1,0</w:t>
            </w:r>
          </w:p>
        </w:tc>
        <w:tc>
          <w:tcPr>
            <w:tcW w:w="4763" w:type="dxa"/>
          </w:tcPr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 расценивается сокращение суммы, подлежащей взысканию по поступившим с начала финансового года исполнительным документам за счет средств </w:t>
            </w:r>
            <w:r w:rsidR="00F91565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по состоянию на конец отчетного периода, по отношению к кассовому исполнению расходов ГРБС в отчетном периоде;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целевым ориентиром для ГРБС является значение показателя, равное 0</w:t>
            </w:r>
          </w:p>
        </w:tc>
      </w:tr>
      <w:tr w:rsidR="003E1845" w:rsidRPr="00583026" w:rsidTr="00583026">
        <w:tc>
          <w:tcPr>
            <w:tcW w:w="567" w:type="dxa"/>
          </w:tcPr>
          <w:p w:rsidR="003E1845" w:rsidRPr="00583026" w:rsidRDefault="004310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bookmarkStart w:id="6" w:name="_GoBack"/>
            <w:bookmarkEnd w:id="6"/>
            <w:r w:rsidR="003E1845" w:rsidRPr="00583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E1845" w:rsidRPr="00583026" w:rsidRDefault="003E1845" w:rsidP="00F91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Доля суммы бюджетных ассигнований, изменения по которым внесены в сводную бюджетную роспись </w:t>
            </w:r>
            <w:r w:rsidR="00F91565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4111" w:type="dxa"/>
          </w:tcPr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P = </w:t>
            </w:r>
            <w:proofErr w:type="spellStart"/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Vc</w:t>
            </w:r>
            <w:proofErr w:type="spellEnd"/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/ V </w:t>
            </w:r>
            <w:proofErr w:type="spellStart"/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100, где: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P - доля суммы бюджетных ассигнований, изменения по которым внесены в сводную бюджетную роспись </w:t>
            </w:r>
            <w:r w:rsidR="00F91565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бюджета;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Vc</w:t>
            </w:r>
            <w:proofErr w:type="spellEnd"/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- сумма положительных и отрицательных (по модулю) изменений, внесенных ГРБС в сводную бюджетную роспись </w:t>
            </w:r>
            <w:r w:rsidR="00F91565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бюджета;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 - общий объем бюджетных ассигнований, предусмотренных ГРБС на отчетный финансовый год (без учета безвозмездных поступлений).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При расчете значения индикатора учитываются изменения в сводную бюджетную роспись, осуществляемые по следующим основаниям:</w:t>
            </w:r>
          </w:p>
          <w:p w:rsidR="003E1845" w:rsidRPr="00583026" w:rsidRDefault="004144BC" w:rsidP="00CD01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E1845"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изменения, вносимые в связи с перераспределением бюджетных ассигнований, предусмотренных главному распорядителю средств </w:t>
            </w:r>
            <w:r w:rsidR="00F91565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="003E1845"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бюджета, между основными мероприятиями и (или) направлениями расходов целевой статьи расходов, связанных с внесением изменений в бюджетную </w:t>
            </w:r>
            <w:hyperlink r:id="rId5" w:history="1">
              <w:r w:rsidR="003E1845" w:rsidRPr="0058302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классификацию</w:t>
              </w:r>
            </w:hyperlink>
            <w:r w:rsidR="003E1845"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между видами расходов в пределах общего объема бюджетных ассигнований по целевой статье расходов </w:t>
            </w:r>
            <w:hyperlink r:id="rId6" w:history="1">
              <w:r w:rsidR="003E1845" w:rsidRPr="0058302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классификации</w:t>
              </w:r>
            </w:hyperlink>
            <w:r w:rsidR="003E1845"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бюджетов с последующим внесением и</w:t>
            </w:r>
            <w:r w:rsidR="00F91565">
              <w:rPr>
                <w:rFonts w:ascii="Times New Roman" w:hAnsi="Times New Roman" w:cs="Times New Roman"/>
                <w:sz w:val="24"/>
                <w:szCs w:val="24"/>
              </w:rPr>
              <w:t>зменений в закон о бюджете.</w:t>
            </w:r>
          </w:p>
        </w:tc>
        <w:tc>
          <w:tcPr>
            <w:tcW w:w="851" w:type="dxa"/>
          </w:tcPr>
          <w:p w:rsidR="003E1845" w:rsidRPr="00583026" w:rsidRDefault="003E1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2324" w:type="dxa"/>
          </w:tcPr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5 - если P = 0;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4 - если 10 &gt;= P &gt; 0;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3 - если 20 &gt;= P &gt; 10;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2 - если 30 &gt;= P &gt; 20;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1 - если 35 &gt;= P &gt; 30;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0 - если P &gt; 35</w:t>
            </w:r>
          </w:p>
        </w:tc>
        <w:tc>
          <w:tcPr>
            <w:tcW w:w="4763" w:type="dxa"/>
          </w:tcPr>
          <w:p w:rsidR="003E1845" w:rsidRPr="00583026" w:rsidRDefault="003E1845" w:rsidP="008C59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доля суммы бюджетных ассигнований, изменения по которым внесены в сводную бюджетную роспись </w:t>
            </w:r>
            <w:r w:rsidR="00F91565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бюджета, свидетельствует о низком качестве планирования бюджетных ассигнований; целевым ориентиром для ГРБС является отсутствие не связанных с объективными причинами изменений, вносимых в сводную бюджетную роспись</w:t>
            </w:r>
          </w:p>
        </w:tc>
      </w:tr>
    </w:tbl>
    <w:p w:rsidR="003E1845" w:rsidRPr="00583026" w:rsidRDefault="003E18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1845" w:rsidRPr="00583026" w:rsidRDefault="003E18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1845" w:rsidRPr="00583026" w:rsidRDefault="003E184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043C2A" w:rsidRDefault="00734D87"/>
    <w:sectPr w:rsidR="00043C2A" w:rsidSect="00904A2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845"/>
    <w:rsid w:val="0001141A"/>
    <w:rsid w:val="00052F55"/>
    <w:rsid w:val="00071583"/>
    <w:rsid w:val="000C38A8"/>
    <w:rsid w:val="000E7DCB"/>
    <w:rsid w:val="000F527D"/>
    <w:rsid w:val="00137F03"/>
    <w:rsid w:val="00162B83"/>
    <w:rsid w:val="001B3CAB"/>
    <w:rsid w:val="00212D2B"/>
    <w:rsid w:val="0023640E"/>
    <w:rsid w:val="002800CF"/>
    <w:rsid w:val="002E7230"/>
    <w:rsid w:val="003108E7"/>
    <w:rsid w:val="0032708B"/>
    <w:rsid w:val="00367239"/>
    <w:rsid w:val="003B026F"/>
    <w:rsid w:val="003E0CC9"/>
    <w:rsid w:val="003E1845"/>
    <w:rsid w:val="004144BC"/>
    <w:rsid w:val="004310DD"/>
    <w:rsid w:val="0043750D"/>
    <w:rsid w:val="00583026"/>
    <w:rsid w:val="005C59DD"/>
    <w:rsid w:val="005E53D0"/>
    <w:rsid w:val="006208AC"/>
    <w:rsid w:val="0068434B"/>
    <w:rsid w:val="00720395"/>
    <w:rsid w:val="00734D87"/>
    <w:rsid w:val="00747FBE"/>
    <w:rsid w:val="00767568"/>
    <w:rsid w:val="00772E9A"/>
    <w:rsid w:val="00821823"/>
    <w:rsid w:val="008C35DB"/>
    <w:rsid w:val="008C596E"/>
    <w:rsid w:val="008D7479"/>
    <w:rsid w:val="008E2BC4"/>
    <w:rsid w:val="00927401"/>
    <w:rsid w:val="009A72BF"/>
    <w:rsid w:val="009F6325"/>
    <w:rsid w:val="00A70089"/>
    <w:rsid w:val="00A8098A"/>
    <w:rsid w:val="00AF5F38"/>
    <w:rsid w:val="00B1182C"/>
    <w:rsid w:val="00B53D16"/>
    <w:rsid w:val="00BF3351"/>
    <w:rsid w:val="00C50FF9"/>
    <w:rsid w:val="00CD0125"/>
    <w:rsid w:val="00D82026"/>
    <w:rsid w:val="00E14378"/>
    <w:rsid w:val="00E423E8"/>
    <w:rsid w:val="00F42F31"/>
    <w:rsid w:val="00F91565"/>
    <w:rsid w:val="00F937FE"/>
    <w:rsid w:val="00FF7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CC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18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18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18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18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84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3E0CC9"/>
    <w:pPr>
      <w:widowControl/>
      <w:autoSpaceDE/>
      <w:autoSpaceDN/>
      <w:adjustRightInd/>
      <w:ind w:firstLine="0"/>
    </w:pPr>
    <w:rPr>
      <w:rFonts w:ascii="Times New Roman" w:hAnsi="Times New Roman" w:cs="Times New Roman"/>
      <w:bCs/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3E0CC9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1A6BC6C1A96457891F989D950A3868025A4016EA96F9A833C9DAB37CF5B834A950DCB12BE29596400l5E" TargetMode="External"/><Relationship Id="rId5" Type="http://schemas.openxmlformats.org/officeDocument/2006/relationships/hyperlink" Target="consultantplus://offline/ref=71A6BC6C1A96457891F989D950A3868025A4016EA96F9A833C9DAB37CF5B834A950DCB12BF2D516200l6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55A3C-57F3-4F88-96A9-570DBDDB0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1752</Words>
  <Characters>9988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 Игизова</dc:creator>
  <cp:lastModifiedBy>User</cp:lastModifiedBy>
  <cp:revision>5</cp:revision>
  <cp:lastPrinted>2020-05-12T07:26:00Z</cp:lastPrinted>
  <dcterms:created xsi:type="dcterms:W3CDTF">2020-04-09T04:17:00Z</dcterms:created>
  <dcterms:modified xsi:type="dcterms:W3CDTF">2020-05-12T07:30:00Z</dcterms:modified>
</cp:coreProperties>
</file>